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若手外科医の声 初期研修医との関わりを通して感じたこと,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467-468,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PCI患者の糖尿病治療はSGLT2阻害剤から始める, </w:t>
      </w:r>
      <w:r>
        <w:rPr>
          <w:rFonts w:ascii="" w:hAnsi="" w:cs="" w:eastAsia=""/>
          <w:b w:val="false"/>
          <w:i w:val="true"/>
          <w:strike w:val="false"/>
          <w:color w:val="000000"/>
          <w:sz w:val="20"/>
          <w:u w:val="none"/>
        </w:rPr>
        <w:t xml:space="preserve">ARIA2019,Pro，本音で徹底討論，何でもARIA，PCI患者の心血管イベント抑制のためのOMTを追求するARIA-OMT Debate 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