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Eriko Iwata, Chisato Nakada, Yoshiyuki Tsukamoto,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Shinji Miyamoto, Masatsugu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Atrial Fibrillation-Mediated Upregulation of miR-30d Regulates Myocardial Electrical Remodeling of the G-Protein-Gated K(+) Channel, IK.ACh.,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1346-1355,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FangFang Ma,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Kimiko Masuda,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Short- and long-term inhibition of cardiac inward-rectifier potassium channel current by an antiarrhythmic drug bepridil.,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1176-1184,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立木 隆広, 池原 賢代, 神谷 訓康, 新田 明美, 甲田 勝康, 玉置 淳子, 伊木 雅之, 梶田 悦子, 鏡森 定信, 三好 雅士, 中尾 隆之,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女性におけるメタボリックシンドローム発症予防のための血清総アディポネクチンの基準値の策定,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糖尿病になったら，どんな食事になるの?健康な人とは違う食事になるの?,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食事と血糖値・HbA1cの関係って?,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1日にどれくらい食べたらいいの?そのなかで，食事内容の制限はあるの?,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