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130-134,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肝臓外科医のベストシーズンを迎えて,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廣島 裕也, </w:t>
      </w:r>
      <w:r>
        <w:rPr>
          <w:rFonts w:ascii="" w:hAnsi="" w:cs="" w:eastAsia=""/>
          <w:b w:val="true"/>
          <w:i w:val="false"/>
          <w:strike w:val="false"/>
          <w:color w:val="000000"/>
          <w:sz w:val="20"/>
          <w:u w:val="single"/>
        </w:rPr>
        <w:t>篠原 永光</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経過中に膿胸腔に隣接した肺嚢胞壁が壊死脱落したことにより複数の肺瘻を有するに至った慢性膿胸の1例,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当院で治療された急性膿胸についての臨床的検討,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過疎地域における呼吸器外科医の役割-気胸患者に対する治療から-,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岩永 将輝,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当院における高齢気胸患者に対する治療の現状,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TaTME100例の軌跡∼導入から適応拡大まで∼,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No.627, </w:t>
      </w:r>
      <w:r>
        <w:rPr>
          <w:rFonts w:ascii="" w:hAnsi="" w:cs="" w:eastAsia=""/>
          <w:b w:val="false"/>
          <w:i w:val="false"/>
          <w:strike w:val="false"/>
          <w:color w:val="000000"/>
          <w:sz w:val="20"/>
          <w:u w:val="none"/>
        </w:rPr>
        <w:t>4-7,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68-71,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2070-2077,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2679-2686,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5997-6006,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e13383,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927-935,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