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トルバプタンが術後腎機能(亜急性期)に与える影響の検討,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勝哉, 菅澤 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深部静脈血栓症モデルマウスの確立と抗血栓薬の血栓消退効果の検討,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惇,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若年女性に発症した一次性伏在型下肢静脈瘤の一例,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高齢者開心術周術期管理におけるトルバプタンの検討,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743-749,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1371-1383,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729-734,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医療事故調査の実際-特に小児に対する対応について-,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