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5"/>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eaal2332, 2017.</w:t>
      </w:r>
    </w:p>
    <w:p>
      <w:pPr>
        <w:numPr>
          <w:numId w:val="6"/>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Vol.xxx, </w:t>
      </w:r>
      <w:r>
        <w:rPr>
          <w:rFonts w:ascii="" w:hAnsi="" w:cs="" w:eastAsia=""/>
          <w:b w:val="false"/>
          <w:i w:val="true"/>
          <w:strike w:val="false"/>
          <w:color w:val="000000"/>
          <w:sz w:val="20"/>
          <w:u w:val="none"/>
        </w:rPr>
        <w:t xml:space="preserve">No.xxx, </w:t>
      </w:r>
      <w:r>
        <w:rPr>
          <w:rFonts w:ascii="" w:hAnsi="" w:cs="" w:eastAsia=""/>
          <w:b w:val="false"/>
          <w:i w:val="false"/>
          <w:strike w:val="false"/>
          <w:color w:val="000000"/>
          <w:sz w:val="20"/>
          <w:u w:val="none"/>
        </w:rPr>
        <w:t>xxx,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780038, 2022.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12"/>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19-26,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e0301690,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none"/>
        </w:rPr>
        <w:t xml:space="preserve">Journal of lipid research,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none"/>
        </w:rPr>
        <w:t xml:space="preserve">Clinical nutrition ESPEN,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57-65,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1465-1471,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100086, 2025.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4116-4125,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none"/>
        </w:rPr>
        <w:t xml:space="preserve">Clinical and experimental nephrology,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none"/>
        </w:rPr>
        <w:t xml:space="preserve">Scientific reports,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