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5"/>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262-265,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21-26,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eaal2332, 2017.</w:t>
      </w:r>
    </w:p>
    <w:p>
      <w:pPr>
        <w:numPr>
          <w:numId w:val="6"/>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1073-1085,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63(1571)-70(1578),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47-57,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1350-1362,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2741-2758,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Shohei Kohno, Moshe Levi,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L. Audrey Keenan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Simultaneous inhibition of FXR and TGR5 exacerbates atherosclerotic formation,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1709-1713,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147-154,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1797-1803,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1409-1424,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773-779,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455-458,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Yuki Arima,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898-907,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701-704,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618-621,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83-89,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xxx, </w:t>
      </w:r>
      <w:r>
        <w:rPr>
          <w:rFonts w:ascii="" w:hAnsi="" w:cs="" w:eastAsia=""/>
          <w:b w:val="false"/>
          <w:i w:val="true"/>
          <w:strike w:val="false"/>
          <w:color w:val="000000"/>
          <w:sz w:val="20"/>
          <w:u w:val="none"/>
        </w:rPr>
        <w:t xml:space="preserve">xxx, </w:t>
      </w:r>
      <w:r>
        <w:rPr>
          <w:rFonts w:ascii="" w:hAnsi="" w:cs="" w:eastAsia=""/>
          <w:b w:val="false"/>
          <w:i w:val="false"/>
          <w:strike w:val="false"/>
          <w:color w:val="000000"/>
          <w:sz w:val="20"/>
          <w:u w:val="none"/>
        </w:rPr>
        <w:t>xxx,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Hanazaki, Kayo Ikuta, Shohei Sasaki, 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Tomoka Hasegawa, Norio Amizuka,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Pi transporter/Npt2c on Pi homeostasis in klotho knockout mice different properties between juvenile and adult stages.,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e14324,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e00960--19,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Shinobu Miyazaki-Anzai, Kayo Okamura, L. Audrey Keenan,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GPAT4-Generated Saturated LPAs Induce Lipotoxicity through Inhibition of Autophagy by Abnormal Formation of Omegasomes,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103744, 2020.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140495, 2020.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379,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1415-1421,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10436, 2021.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943, 2022.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780038, 2022.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4887,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730-734,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RP89381,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12"/>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12"/>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e0301690,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 </w:t>
      </w:r>
      <w:r>
        <w:rPr>
          <w:rFonts w:ascii="" w:hAnsi="" w:cs="" w:eastAsia=""/>
          <w:b w:val="false"/>
          <w:i w:val="true"/>
          <w:strike w:val="false"/>
          <w:color w:val="000000"/>
          <w:sz w:val="20"/>
          <w:u w:val="none"/>
        </w:rPr>
        <w:t xml:space="preserve">腎臓栄養学, </w:t>
      </w:r>
      <w:r>
        <w:rPr>
          <w:rFonts w:ascii="" w:hAnsi="" w:cs="" w:eastAsia=""/>
          <w:b w:val="false"/>
          <w:i w:val="false"/>
          <w:strike w:val="false"/>
          <w:color w:val="000000"/>
          <w:sz w:val="20"/>
          <w:u w:val="none"/>
        </w:rPr>
        <w:t>36-39,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人体の正常構造と機能, </w:t>
      </w:r>
      <w:r>
        <w:rPr>
          <w:rFonts w:ascii="" w:hAnsi="" w:cs="" w:eastAsia=""/>
          <w:b w:val="false"/>
          <w:i w:val="true"/>
          <w:strike w:val="false"/>
          <w:color w:val="000000"/>
          <w:sz w:val="20"/>
          <w:u w:val="none"/>
        </w:rPr>
        <w:t xml:space="preserve">人体の正常構造と機能, </w:t>
      </w:r>
      <w:r>
        <w:rPr>
          <w:rFonts w:ascii="" w:hAnsi="" w:cs="" w:eastAsia=""/>
          <w:b w:val="false"/>
          <w:i w:val="false"/>
          <w:strike w:val="false"/>
          <w:color w:val="000000"/>
          <w:sz w:val="20"/>
          <w:u w:val="none"/>
        </w:rPr>
        <w:t>748-751,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Transport, Discussion leader, </w:t>
      </w:r>
      <w:r>
        <w:rPr>
          <w:rFonts w:ascii="" w:hAnsi="" w:cs="" w:eastAsia=""/>
          <w:b w:val="false"/>
          <w:i w:val="true"/>
          <w:strike w:val="false"/>
          <w:color w:val="000000"/>
          <w:sz w:val="20"/>
          <w:u w:val="none"/>
        </w:rPr>
        <w:t xml:space="preserve">The Physiology, Biology and Pathology of Phosphate GRC 2025, </w:t>
      </w:r>
      <w:r>
        <w:rPr>
          <w:rFonts w:ascii="" w:hAnsi="" w:cs="" w:eastAsia=""/>
          <w:b w:val="false"/>
          <w:i w:val="false"/>
          <w:strike w:val="false"/>
          <w:color w:val="000000"/>
          <w:sz w:val="20"/>
          <w:u w:val="none"/>
        </w:rPr>
        <w:t>Renaissance Tuscany Il Ciocco in Lucca (Barga), Lucca, Italy,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リン代謝調節機構―腸管リン吸収機構の理解―,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Pi absorption -経細胞輸送と傍細胞輸送の研究の流れ-, </w:t>
      </w:r>
      <w:r>
        <w:rPr>
          <w:rFonts w:ascii="" w:hAnsi="" w:cs="" w:eastAsia=""/>
          <w:b w:val="false"/>
          <w:i w:val="true"/>
          <w:strike w:val="false"/>
          <w:color w:val="000000"/>
          <w:sz w:val="20"/>
          <w:u w:val="none"/>
        </w:rPr>
        <w:t xml:space="preserve">第69回日本透析医学会学術集会・総会,企業共催シンポジウム6,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 </w:t>
      </w:r>
      <w:r>
        <w:rPr>
          <w:rFonts w:ascii="" w:hAnsi="" w:cs="" w:eastAsia=""/>
          <w:b w:val="false"/>
          <w:i w:val="true"/>
          <w:strike w:val="false"/>
          <w:color w:val="000000"/>
          <w:sz w:val="20"/>
          <w:u w:val="none"/>
        </w:rPr>
        <w:t xml:space="preserve">第69回日本透析医学会学術集会・総会，シンポジウム20 透析患者の腸腎連関 ~透析患者と腸内環境~,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リン代謝調節における腸管の役割など, </w:t>
      </w:r>
      <w:r>
        <w:rPr>
          <w:rFonts w:ascii="" w:hAnsi="" w:cs="" w:eastAsia=""/>
          <w:b w:val="false"/>
          <w:i w:val="true"/>
          <w:strike w:val="false"/>
          <w:color w:val="000000"/>
          <w:sz w:val="20"/>
          <w:u w:val="none"/>
        </w:rPr>
        <w:t xml:space="preserve">CKD-MBD講演会 フォゼベル錠 発売記念講演会，特別講演,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第1回Meet the Expert in 熊本,特別講演,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管理栄養士によるリン代謝基礎研究, </w:t>
      </w:r>
      <w:r>
        <w:rPr>
          <w:rFonts w:ascii="" w:hAnsi="" w:cs="" w:eastAsia=""/>
          <w:b w:val="false"/>
          <w:i w:val="true"/>
          <w:strike w:val="false"/>
          <w:color w:val="000000"/>
          <w:sz w:val="20"/>
          <w:u w:val="none"/>
        </w:rPr>
        <w:t xml:space="preserve">第24回広島コメディカルスタッフ透析セミナー，特別講演,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腸管リン酸吸収機構UpToDate~Tenapanorと今後の展望~, </w:t>
      </w:r>
      <w:r>
        <w:rPr>
          <w:rFonts w:ascii="" w:hAnsi="" w:cs="" w:eastAsia=""/>
          <w:b w:val="false"/>
          <w:i w:val="true"/>
          <w:strike w:val="false"/>
          <w:color w:val="000000"/>
          <w:sz w:val="20"/>
          <w:u w:val="none"/>
        </w:rPr>
        <w:t xml:space="preserve">第12回日本腎臓研究会 指定講演,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リン代謝調節機構UpToDate, </w:t>
      </w:r>
      <w:r>
        <w:rPr>
          <w:rFonts w:ascii="" w:hAnsi="" w:cs="" w:eastAsia=""/>
          <w:b w:val="false"/>
          <w:i w:val="true"/>
          <w:strike w:val="false"/>
          <w:color w:val="000000"/>
          <w:sz w:val="20"/>
          <w:u w:val="none"/>
        </w:rPr>
        <w:t xml:space="preserve">MBD21，特別講演,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1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Teruhiro Morishita, Umemoto Nobuhiko,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Kohno Kazuyo, Shiota Shunsuke, Shinohara Mina,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Energy and Protein Intake Requirements to Prevent Body Weight Loss in Elderly Residents of Nursing Homes,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e83983, 2025.</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自身の栄養研究を振り返って, </w:t>
      </w:r>
      <w:r>
        <w:rPr>
          <w:rFonts w:ascii="" w:hAnsi="" w:cs="" w:eastAsia=""/>
          <w:b w:val="false"/>
          <w:i w:val="true"/>
          <w:strike w:val="false"/>
          <w:color w:val="000000"/>
          <w:sz w:val="20"/>
          <w:u w:val="none"/>
        </w:rPr>
        <w:t xml:space="preserve">栄養-Trends of Nutrition,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95-97, 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マウス腓腹筋の体組成と水分変化を捉える生体電気インピーダンスベクトル分析の意義, </w:t>
      </w:r>
      <w:r>
        <w:rPr>
          <w:rFonts w:ascii="" w:hAnsi="" w:cs="" w:eastAsia=""/>
          <w:b w:val="false"/>
          <w:i w:val="true"/>
          <w:strike w:val="false"/>
          <w:color w:val="000000"/>
          <w:sz w:val="20"/>
          <w:u w:val="none"/>
        </w:rPr>
        <w:t xml:space="preserve">第79回 日本栄養・食糧学会,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栄養投与量と栄養評価,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 </w:t>
      </w:r>
      <w:r>
        <w:rPr>
          <w:rFonts w:ascii="" w:hAnsi="" w:cs="" w:eastAsia=""/>
          <w:b w:val="false"/>
          <w:i w:val="true"/>
          <w:strike w:val="false"/>
          <w:color w:val="000000"/>
          <w:sz w:val="20"/>
          <w:u w:val="none"/>
        </w:rPr>
        <w:t xml:space="preserve">日本病態栄養学会 看護師セミナー,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臨床に必要な基礎知識,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栄養アセスメントとケアプラン,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栄養補給法, </w:t>
      </w:r>
      <w:r>
        <w:rPr>
          <w:rFonts w:ascii="" w:hAnsi="" w:cs="" w:eastAsia=""/>
          <w:b w:val="false"/>
          <w:i w:val="true"/>
          <w:strike w:val="false"/>
          <w:color w:val="000000"/>
          <w:sz w:val="20"/>
          <w:u w:val="none"/>
        </w:rPr>
        <w:t xml:space="preserve">日本病態栄養学会 病態栄養専門管理栄養士セミナー,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