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 Shao, H Noh, WB Kim, P Ni, C Nguyen, SE Cote, E Noyes, J Zhao, T Parsons, JM Park, K Zheng, JJ Park, JT Coyle, DR Weinberger, RE Straub, KF Berman, J Apud, D Ongur, BM Cohen, DL McPhie, JL Rapoport, RH Perlis, TA Lanz, S Xi, C Yin, W Huang,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E Fukuda, T Yagi, S Ghosh, KC Eggan, H-Y Kim, LM Eisenberg, A Moghadam, P Stanton, J-H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Chung : </w:t>
      </w:r>
      <w:r>
        <w:rPr>
          <w:rFonts w:ascii="" w:hAnsi="" w:cs="" w:eastAsia=""/>
          <w:b w:val="false"/>
          <w:i w:val="false"/>
          <w:strike w:val="false"/>
          <w:color w:val="000000"/>
          <w:sz w:val="20"/>
          <w:u w:val="none"/>
        </w:rPr>
        <w:t xml:space="preserve">Dysregulated protocadherin-pathway activity as an intrinsic defect in iPSC-derived cortical interneurons from patients with schizophrenia,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229-242, 2019.</w:t>
      </w:r>
    </w:p>
    <w:p>
      <w:pPr>
        <w:numPr>
          <w:numId w:val="7"/>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牽引力顕微鏡法を用いた神経細胞の核移動に伴う牽引力の検出, </w:t>
      </w:r>
      <w:r>
        <w:rPr>
          <w:rFonts w:ascii="" w:hAnsi="" w:cs="" w:eastAsia=""/>
          <w:b w:val="false"/>
          <w:i w:val="true"/>
          <w:strike w:val="false"/>
          <w:color w:val="000000"/>
          <w:sz w:val="20"/>
          <w:u w:val="none"/>
        </w:rPr>
        <w:t xml:space="preserve">神経科学ニュース, </w:t>
      </w:r>
      <w:r>
        <w:rPr>
          <w:rFonts w:ascii="" w:hAnsi="" w:cs="" w:eastAsia=""/>
          <w:b w:val="false"/>
          <w:i w:val="true"/>
          <w:strike w:val="false"/>
          <w:color w:val="000000"/>
          <w:sz w:val="20"/>
          <w:u w:val="none"/>
        </w:rPr>
        <w:t xml:space="preserve">2019 NO.1, </w:t>
      </w:r>
      <w:r>
        <w:rPr>
          <w:rFonts w:ascii="" w:hAnsi="" w:cs="" w:eastAsia=""/>
          <w:b w:val="false"/>
          <w:i w:val="false"/>
          <w:strike w:val="false"/>
          <w:color w:val="000000"/>
          <w:sz w:val="20"/>
          <w:u w:val="none"/>
        </w:rPr>
        <w:t>27,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Alvarez-Saavedra, K Yan, Y Repentigny De, LE Hashem, N Chaudary, S Sarwar, D Yang, I Ioshikhes, R Kothary,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DJ Picketts : </w:t>
      </w:r>
      <w:r>
        <w:rPr>
          <w:rFonts w:ascii="" w:hAnsi="" w:cs="" w:eastAsia=""/>
          <w:b w:val="false"/>
          <w:i w:val="false"/>
          <w:strike w:val="false"/>
          <w:color w:val="000000"/>
          <w:sz w:val="20"/>
          <w:u w:val="none"/>
        </w:rPr>
        <w:t xml:space="preserve">Snf2h Drives Chromatin Remodeling to Prime Upper Layer Cortical Neuron Development,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Asai, N. Ohkawa, Y. Saitoh, K. Ghandour, E. Murayama, H. Nishizono, M. Matsuo,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R. Kaneko, S. Muramatsu, T.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Inokuchi : </w:t>
      </w:r>
      <w:r>
        <w:rPr>
          <w:rFonts w:ascii="" w:hAnsi="" w:cs="" w:eastAsia=""/>
          <w:b w:val="false"/>
          <w:i w:val="false"/>
          <w:strike w:val="false"/>
          <w:color w:val="000000"/>
          <w:sz w:val="20"/>
          <w:u w:val="none"/>
        </w:rPr>
        <w:t xml:space="preserve">Pcdhβ deficiency affects hippocampal CA1 ensemble activity and contextual fear discrimination,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Asai Hirotaka, Ohkawa Noriaki, Saitoh Yoshito, Gandour Khaled, Nishizono Hirofumi,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Muramatsu Shin-ichi, Yagi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Inokuchi Kaoru : </w:t>
      </w:r>
      <w:r>
        <w:rPr>
          <w:rFonts w:ascii="" w:hAnsi="" w:cs="" w:eastAsia=""/>
          <w:b w:val="false"/>
          <w:i w:val="false"/>
          <w:strike w:val="false"/>
          <w:color w:val="000000"/>
          <w:sz w:val="20"/>
          <w:u w:val="none"/>
        </w:rPr>
        <w:t xml:space="preserve">Deletion of cPcdhs affects cell ensemble activities in the hippocampus,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本間 貴裕,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三宝 誠, 平林 真澄, 八木 健 : </w:t>
      </w:r>
      <w:r>
        <w:rPr>
          <w:rFonts w:ascii="" w:hAnsi="" w:cs="" w:eastAsia=""/>
          <w:b w:val="false"/>
          <w:i w:val="false"/>
          <w:strike w:val="false"/>
          <w:color w:val="000000"/>
          <w:sz w:val="20"/>
          <w:u w:val="none"/>
        </w:rPr>
        <w:t xml:space="preserve">嗅神経回路形成におけるクラスター型プロトカドヘリンの機能解析,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Uyeda,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S. Hattori, T. Myakawa, T. Yagi,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Sugo : </w:t>
      </w:r>
      <w:r>
        <w:rPr>
          <w:rFonts w:ascii="" w:hAnsi="" w:cs="" w:eastAsia=""/>
          <w:b w:val="false"/>
          <w:i w:val="false"/>
          <w:strike w:val="false"/>
          <w:color w:val="000000"/>
          <w:sz w:val="20"/>
          <w:u w:val="none"/>
        </w:rPr>
        <w:t xml:space="preserve">Suppression of DNA Double-Strand Break Formation by DNA Polymerase β in Active DNA Demethylation Is Required for Development of Hippocampal Pyramidal Neurons. J,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9012-9027,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脳の発生過程における神経細胞移動を駆動する力学メカニズムの解析,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xml:space="preserve">, Y Kadooka, E Tarusawa, S Saitoh, H Nakayama, N Hoshino, S Nakama, T Fukuishi, Y Kawanishi, </w:t>
      </w:r>
      <w:r>
        <w:rPr>
          <w:rFonts w:ascii="" w:hAnsi="" w:cs="" w:eastAsia=""/>
          <w:b w:val="true"/>
          <w:i w:val="false"/>
          <w:strike w:val="false"/>
          <w:color w:val="000000"/>
          <w:sz w:val="20"/>
          <w:u w:val="single"/>
        </w:rPr>
        <w:t>Hiroki Umeshima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Y Yoshimura, N Galjart, K Hashimoto,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CTCF loss induces giant lamellar bodies in Purkinjecell dendrites., </w:t>
      </w:r>
      <w:r>
        <w:rPr>
          <w:rFonts w:ascii="" w:hAnsi="" w:cs="" w:eastAsia=""/>
          <w:b w:val="false"/>
          <w:i w:val="true"/>
          <w:strike w:val="false"/>
          <w:color w:val="000000"/>
          <w:sz w:val="20"/>
          <w:u w:val="single"/>
        </w:rPr>
        <w:t>Acta Neuropathologica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Kobayashi, K Takemoto, M Sanbo, M Hirabayashi, T Hirabayashi,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 Kiyonari, T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Yagi : </w:t>
      </w:r>
      <w:r>
        <w:rPr>
          <w:rFonts w:ascii="" w:hAnsi="" w:cs="" w:eastAsia=""/>
          <w:b w:val="false"/>
          <w:i w:val="false"/>
          <w:strike w:val="false"/>
          <w:color w:val="000000"/>
          <w:sz w:val="20"/>
          <w:u w:val="none"/>
        </w:rPr>
        <w:t xml:space="preserve">Isoform requirement of clustered protecadherin for preventing neuronal apoptosis and neonatal lethality,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105766, 2023.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マウス大脳皮質におけるHeat Shock Protein 90のアイソフォーム特異的発現パターンの解析,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角岡 佑紀, 足澤 悦子, 齋藤 成, 中山 寿子, 星野 七海, 仲間 宗一郎, 福石 高弘, 川西 雄大,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吉村 由美子, Galjart Niels, 橋本 浩一, 大野 伸彦, 八木 健 : </w:t>
      </w:r>
      <w:r>
        <w:rPr>
          <w:rFonts w:ascii="" w:hAnsi="" w:cs="" w:eastAsia=""/>
          <w:b w:val="false"/>
          <w:i w:val="false"/>
          <w:strike w:val="false"/>
          <w:color w:val="000000"/>
          <w:sz w:val="20"/>
          <w:u w:val="none"/>
        </w:rPr>
        <w:t xml:space="preserve">CTCF, </w:t>
      </w:r>
      <w:r>
        <w:rPr>
          <w:rFonts w:ascii="" w:hAnsi="" w:cs="" w:eastAsia=""/>
          <w:b w:val="false"/>
          <w:i w:val="true"/>
          <w:strike w:val="false"/>
          <w:color w:val="000000"/>
          <w:sz w:val="20"/>
          <w:u w:val="none"/>
        </w:rPr>
        <w:t xml:space="preserve">第128回日本解剖学会全国学術集会,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未固定遺体による側頭葉および前頭葉てんかんに対する手術トレーニング, </w:t>
      </w:r>
      <w:r>
        <w:rPr>
          <w:rFonts w:ascii="" w:hAnsi="" w:cs="" w:eastAsia=""/>
          <w:b w:val="false"/>
          <w:i w:val="true"/>
          <w:strike w:val="false"/>
          <w:color w:val="000000"/>
          <w:sz w:val="20"/>
          <w:u w:val="none"/>
        </w:rPr>
        <w:t xml:space="preserve">CNTT2025,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