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24878, 2016.</w:t>
      </w:r>
    </w:p>
    <w:p>
      <w:pPr>
        <w:numPr>
          <w:numId w:val="5"/>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226-237, 2016.</w:t>
      </w:r>
    </w:p>
    <w:p>
      <w:pPr>
        <w:numPr>
          <w:numId w:val="5"/>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75-87, 2016.</w:t>
      </w:r>
    </w:p>
    <w:p>
      <w:pPr>
        <w:numPr>
          <w:numId w:val="5"/>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27186, 2016.</w:t>
      </w:r>
    </w:p>
    <w:p>
      <w:pPr>
        <w:numPr>
          <w:numId w:val="5"/>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419-428, 2016.</w:t>
      </w:r>
    </w:p>
    <w:p>
      <w:pPr>
        <w:numPr>
          <w:numId w:val="5"/>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122-142, 2016.</w:t>
      </w:r>
    </w:p>
    <w:p>
      <w:pPr>
        <w:numPr>
          <w:numId w:val="5"/>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e0158282, 2016.</w:t>
      </w:r>
    </w:p>
    <w:p>
      <w:pPr>
        <w:numPr>
          <w:numId w:val="5"/>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1176-1188, 2016.</w:t>
      </w:r>
    </w:p>
    <w:p>
      <w:pPr>
        <w:numPr>
          <w:numId w:val="5"/>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3806-3816,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39967, 2017.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膜の変形と上皮形態の形成について,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単一上皮細胞の極性化とその分子制御について,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1059-1074,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370-385,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蛍光タンパク質ノックインによる細胞間接着装置の分子数計測,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8388-8393,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Jenna R. Sternberg, Andrew E. Prendergast, Lucie Brosse, Yasmine Cantaut-Belarif, Olivier Thouvenin, Adeline Orts-DelImmagine, Laura Castillo, Lydia Djenoune,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Jonathan R. McDearmid, Pierre-Luc Bardet, Claude Boccara, Hitoshi Okamoto, Patrick Delmas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Claire Wyart : </w:t>
      </w:r>
      <w:r>
        <w:rPr>
          <w:rFonts w:ascii="" w:hAnsi="" w:cs="" w:eastAsia=""/>
          <w:b w:val="false"/>
          <w:i w:val="false"/>
          <w:strike w:val="false"/>
          <w:color w:val="000000"/>
          <w:sz w:val="20"/>
          <w:u w:val="none"/>
        </w:rPr>
        <w:t xml:space="preserve">Pkd2l1 is required for mechanoception in cerebrospinal fluid-contacting neurons and maintenance of spine curvature,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e38883,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dev159343,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Cortical actinによる単一上皮細胞の極性化の制御,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e0214736,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1512-1520.e6,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59-65, 2021.</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1232,-1237,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上皮細胞を支える基底膜の形成,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基底膜のダイナミクスと上皮形態の形成,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ar12,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17-24,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11"/>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