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266-277,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1235-1248,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1233-1234,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743-747,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559-566,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627-628,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1039-1043,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655-660,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e000325,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454-461,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6, 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450-460,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85-90,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Toby Maher, Gisli Jenkins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77-84,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4445-4454,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516-520,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336-341,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148-161,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