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スポロトリコーシス,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伝染性軟属腫,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梅毒,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好酸球性膿疱性毛包炎,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1353-1356,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1904-1905,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2289-2295,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1921-1925,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透析による難治性皮膚瘙痒症に対するNarrow-band UVB療法の試み,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疣贅の英国治療ガイドライン,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Vol.249,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アトピー性皮膚炎の最近の話題,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Yoshio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Grover's disease in a patient with pemphigus vulgaris,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1052-1054,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1122-1127,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599-560, 2017.</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1014-1018,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美友貴, 猪狩 翔平, 松村 奈津子, 菊池 信之, 三浦 貴子, 山本 俊幸,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母斑性基底細胞癌症候群の1例, </w:t>
      </w:r>
      <w:r>
        <w:rPr>
          <w:rFonts w:ascii="" w:hAnsi="" w:cs="" w:eastAsia=""/>
          <w:b w:val="false"/>
          <w:i w:val="true"/>
          <w:strike w:val="false"/>
          <w:color w:val="000000"/>
          <w:sz w:val="20"/>
          <w:u w:val="none"/>
        </w:rPr>
        <w:t xml:space="preserve">第33回日本皮膚悪性腫瘍学会学術大会,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皮膚有棘細胞癌,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999-1004,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e54-e55,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255-259,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バラシクロビルによって病勢を制御できた再発性多形滲出性紅斑の1例,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四国臨床皮膚免疫フォーラム, </w:t>
      </w:r>
      <w:r>
        <w:rPr>
          <w:rFonts w:ascii="" w:hAnsi="" w:cs="" w:eastAsia=""/>
          <w:b w:val="false"/>
          <w:i w:val="true"/>
          <w:strike w:val="false"/>
          <w:color w:val="000000"/>
          <w:sz w:val="20"/>
          <w:u w:val="none"/>
        </w:rPr>
        <w:t xml:space="preserve">四国臨床皮膚免疫フォーラム,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1449-1453,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1059-1064,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498-501,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1281-1284,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1500-1501,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2102-2103,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997-1003,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765-768,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e133-e135,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762-768,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1560-1567,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1085-1090,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 Ozawa, M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S Raman,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10939, 2025.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