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152-162, Brunei,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個人情報保護法,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医療情報担当者に向けてのIT-BCP策定に関する手順と注意点,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GL対応を考慮したサイバーセキュリティ対策・BCP対策の実際,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1525,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智広, 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IT-BCPのベストプラクティス実践に向けた多面的アプローチ,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329-332,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