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720-727,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255-257,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1483-1486,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1260-1269,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1560-1570,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1124-1131,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