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Aneta Bragiel, Di Wang, Tonasz Pieczonka,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Mechanisms underlying activation of α</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-adrenergic receptor-induced trafficking of AQP5 in rat parotid acinar cells under isotonic or hypototonic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Aneta Bragiel, Tomasz Pieczonka,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nerves stimulates AQP5-trafficking to nuclei in parotidacinar cells,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receptor-induced trafficking of AQP5 to nuclei and its role in rat parotid glands, </w:t>
      </w:r>
      <w:r>
        <w:rPr>
          <w:rFonts w:ascii="" w:hAnsi="" w:cs="" w:eastAsia=""/>
          <w:b w:val="false"/>
          <w:i w:val="true"/>
          <w:strike w:val="false"/>
          <w:color w:val="000000"/>
          <w:sz w:val="20"/>
          <w:u w:val="none"/>
        </w:rPr>
        <w:t xml:space="preserve">The 57th Annual Meeting of Japanese Association for Oral Biology,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157-160, 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口腔乾燥症の発症機序と緩解薬-水チャネル・アクアポリン5を中心にして-, </w:t>
      </w:r>
      <w:r>
        <w:rPr>
          <w:rFonts w:ascii="" w:hAnsi="" w:cs="" w:eastAsia=""/>
          <w:b w:val="false"/>
          <w:i w:val="true"/>
          <w:strike w:val="false"/>
          <w:color w:val="000000"/>
          <w:sz w:val="20"/>
          <w:u w:val="none"/>
        </w:rPr>
        <w:t xml:space="preserve">第51回四国歯学会例会,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163-166, 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4841-4850,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