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4699-4705,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45181, 2017.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210,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80-81,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e0177557,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6"/>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17696, 2017.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544-551,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519-525,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14572-14584,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3406-3418,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68-72,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5039-5045, 2019.</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4918, 2020.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28-34,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66-71,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15-31,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169,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 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379-383,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111,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55-56,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63-64,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207,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e1-e13,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42-51,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213,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74,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Kitamura,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e13019,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