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5"/>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8"/>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1241-1245,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11"/>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