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4416-4419,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5940-5943,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247-256,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articlenumber-6243,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2291-2297,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2841-2845,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1425-1433,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1171-1178,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795-799,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5289-5293, 2020.</w:t>
      </w:r>
    </w:p>
    <w:p>
      <w:pPr>
        <w:numPr>
          <w:numId w:val="9"/>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152242, 2020.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8638-8645,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1226-1232,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11928-11936,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14092-14099,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e0258601,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e202300799,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