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305-313,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19-26,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153-158,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