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Shohei Kohno, Moshe Levi,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L. Audrey Keenan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Simultaneous inhibition of FXR and TGR5 exacerbates atherosclerotic formation,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1709-1713,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Shinobu Miyazaki-Anzai, Kayo Okamura, L. Audrey Keenan,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GPAT4-Generated Saturated LPAs Induce Lipotoxicity through Inhibition of Autophagy by Abnormal Formation of Omegasomes,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