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341-354,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47-58,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成人先天性心疾患患者に対する歯科治療時の全身管理2例, </w:t>
      </w:r>
      <w:r>
        <w:rPr>
          <w:rFonts w:ascii="" w:hAnsi="" w:cs="" w:eastAsia=""/>
          <w:b w:val="false"/>
          <w:i w:val="true"/>
          <w:strike w:val="false"/>
          <w:color w:val="000000"/>
          <w:sz w:val="20"/>
          <w:u w:val="none"/>
        </w:rPr>
        <w:t xml:space="preserve">第35回 中国・四国歯科麻酔研究会,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食物依存性運動アナフィラキシー患者に対する口腔外科手術時の静脈内鎮静法管理の 1 例, </w:t>
      </w:r>
      <w:r>
        <w:rPr>
          <w:rFonts w:ascii="" w:hAnsi="" w:cs="" w:eastAsia=""/>
          <w:b w:val="false"/>
          <w:i w:val="true"/>
          <w:strike w:val="false"/>
          <w:color w:val="000000"/>
          <w:sz w:val="20"/>
          <w:u w:val="none"/>
        </w:rPr>
        <w:t xml:space="preserve">第36回 中国・四国歯科麻酔研究会,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