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880-884,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e434-437,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1218-1223,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1079-1088,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762-766,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98-B,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1167-1174,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291-295,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313-316,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168-172,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発育期の腰椎スポーツ障害,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443-450,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C3―C6頚椎外側塊スクリュー Roy Camille法,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74-73,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腰椎の運動・回転中心-腰椎障害における可動域，瞬間回転軸(IAR)の変化,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932-935,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233-237,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e7-e12,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1147-1150,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the Active Forearm Rotation Using Vascularized Free Fibular Graft and Radial Head Arthroplasty for a Wide Defect of the Proximal Radius.,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Psychogenic Equinovarus Caused by Dislocation of the Chopart Joint Complex.,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FirstPublished,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and direction of the nutrient artery to the first metatarsal at risk in osteotomy for hallux valgus.,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460-465,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Hiroki Arase, Yutaka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Septic True Aneurysm of the Posterior Tibial Artery Diagnosed after Anterior Arthroscopic Debridement of a Septic Ankle following Infective Endocarditis: A Case Report.,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68-73,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Perforating Peroneal Artery following Ankle Arthroscopy.,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Masahiro Yamano, Shinji Yoshioka, Tomoya Terai, Kenichiro Kita, Shingo Hama,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Re-rupture of Achilles Tendon with Soft Tissue Infection: Using an Anterolateral Thigh Flap Incorporating a Vascularized Muscle Flap and a Strip of Iliotibial Tract.,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214-216,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163-168,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