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Tanaka, N Tani, T Nakagawa, Y Takaoka, H Tanaka, K Tanaka,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 Takahashi,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Okahisa : </w:t>
      </w:r>
      <w:r>
        <w:rPr>
          <w:rFonts w:ascii="" w:hAnsi="" w:cs="" w:eastAsia=""/>
          <w:b w:val="false"/>
          <w:i w:val="false"/>
          <w:strike w:val="false"/>
          <w:color w:val="000000"/>
          <w:sz w:val="20"/>
          <w:u w:val="none"/>
        </w:rPr>
        <w:t xml:space="preserve">Development of Simulated Ascites for the Training of Procedure and Evaluation of Machines for Cell-free and Concentrated Ascites Reinfusion Therapy (CART)., </w:t>
      </w:r>
      <w:r>
        <w:rPr>
          <w:rFonts w:ascii="" w:hAnsi="" w:cs="" w:eastAsia=""/>
          <w:b w:val="false"/>
          <w:i w:val="true"/>
          <w:strike w:val="false"/>
          <w:color w:val="000000"/>
          <w:sz w:val="20"/>
          <w:u w:val="none"/>
        </w:rPr>
        <w:t xml:space="preserve">62th Annual Conference of American Society for Artificial Internal Organs (ASAIO), San Francisco.,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optimal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