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are activated in a mouse model of cerebellar dystonia, </w:t>
      </w:r>
      <w:r>
        <w:rPr>
          <w:rFonts w:ascii="" w:hAnsi="" w:cs="" w:eastAsia=""/>
          <w:b w:val="false"/>
          <w:i w:val="true"/>
          <w:strike w:val="false"/>
          <w:color w:val="000000"/>
          <w:sz w:val="20"/>
          <w:u w:val="none"/>
        </w:rPr>
        <w:t xml:space="preserve">Dmm Disease Models and Mechanisms,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11"/>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第48回日本脳神経外傷学会,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急性期脳卒中患者における両下肢タイプHybrid Assistive Limbの即時効果の検討,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好乃美,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高次脳機能障害の精査で明かとなった脳脊髄液漏出症の一例, </w:t>
      </w:r>
      <w:r>
        <w:rPr>
          <w:rFonts w:ascii="" w:hAnsi="" w:cs="" w:eastAsia=""/>
          <w:b w:val="false"/>
          <w:i w:val="true"/>
          <w:strike w:val="false"/>
          <w:color w:val="000000"/>
          <w:sz w:val="20"/>
          <w:u w:val="none"/>
        </w:rPr>
        <w:t xml:space="preserve">第62回日本リハビリテーション医学会学術集会,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