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723-727,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533-538,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S322,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