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800-807,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437-444,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211-219,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620-625,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143-150,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70-78,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15-26,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148-149,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962-966,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E11890-E11891,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34-40,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12-31,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49-58,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2055102919840619, 2019.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103409, 2019.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1983-1991,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e0220414,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217-234,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85-116,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22-28,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129-137,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6-9,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1-6,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389-395,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2055-2073,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78-81,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9382, 2020.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25-37,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57-62,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378-386,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11-21,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59-66,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23-24,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高木 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若島 孔文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104711, 2021.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false"/>
          <w:strike w:val="false"/>
          <w:color w:val="000000"/>
          <w:sz w:val="20"/>
          <w:u w:val="none"/>
        </w:rPr>
        <w:t>113932, 2021.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964-975,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106719, 2021.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858-870,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e048380,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1598-1616,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5932-5950,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13318, 2021.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33-37,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107099, 2022.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9-16,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125-128,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27-33,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50-56,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345,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980-992,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e32694,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8452, 2022.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100448, 2022.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221-226, 2022.</w:t>
      </w:r>
    </w:p>
    <w:p>
      <w:pPr>
        <w:numPr>
          <w:numId w:val="11"/>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100048:1--9,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771-780,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348-353,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e12142,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127-133,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88-93,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44-55,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92-103,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122-129,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90-93,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107-112,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49-57,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17-28,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41-44,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6-7,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371-380,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1-10,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61-67,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284-295,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71-79,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207-213,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Vol.193, </w:t>
      </w:r>
      <w:r>
        <w:rPr>
          <w:rFonts w:ascii="" w:hAnsi="" w:cs="" w:eastAsia=""/>
          <w:b w:val="false"/>
          <w:i w:val="false"/>
          <w:strike w:val="false"/>
          <w:color w:val="000000"/>
          <w:sz w:val="20"/>
          <w:u w:val="none"/>
        </w:rPr>
        <w:t>5-6,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17-18,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none"/>
        </w:rPr>
        <w:t>Denver,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No.Supplenemt 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Vol.2024-HCI-207,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544, 2024.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LINETwitter,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e51653,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101749, 2024.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true"/>
          <w:i w:val="false"/>
          <w:strike w:val="false"/>
          <w:color w:val="000000"/>
          <w:sz w:val="20"/>
          <w:u w:val="none"/>
        </w:rPr>
        <w:t xml:space="preserve">Vol.N/A,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