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w:t>
      </w:r>
      <w:r>
        <w:rPr>
          <w:rFonts w:ascii="" w:hAnsi="" w:cs="" w:eastAsia=""/>
          <w:b w:val="false"/>
          <w:i w:val="true"/>
          <w:strike w:val="false"/>
          <w:color w:val="000000"/>
          <w:sz w:val="20"/>
          <w:u w:val="none"/>
        </w:rPr>
        <w:t xml:space="preserve">Methods in Dialectology XVI,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000102, 2018.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