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5-11, 2024年.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89-100,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143-148, 2025年.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