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115-136, 2017.</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184-210,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1437-1459,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29-36,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Vol.2054, </w:t>
      </w:r>
      <w:r>
        <w:rPr>
          <w:rFonts w:ascii="" w:hAnsi="" w:cs="" w:eastAsia=""/>
          <w:b w:val="false"/>
          <w:i w:val="false"/>
          <w:strike w:val="false"/>
          <w:color w:val="000000"/>
          <w:sz w:val="20"/>
          <w:u w:val="none"/>
        </w:rPr>
        <w:t>118-125,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146-170,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331-344,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650-658, 2018.</w:t>
      </w:r>
    </w:p>
    <w:p>
      <w:pPr>
        <w:numPr>
          <w:numId w:val="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122-143,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Vol.2104, </w:t>
      </w:r>
      <w:r>
        <w:rPr>
          <w:rFonts w:ascii="" w:hAnsi="" w:cs="" w:eastAsia=""/>
          <w:b w:val="false"/>
          <w:i w:val="false"/>
          <w:strike w:val="false"/>
          <w:color w:val="000000"/>
          <w:sz w:val="20"/>
          <w:u w:val="none"/>
        </w:rPr>
        <w:t>78-85,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93-95, 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127-165,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69-98,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665-684, 2020.</w:t>
      </w:r>
    </w:p>
    <w:p>
      <w:pPr>
        <w:numPr>
          <w:numId w:val="8"/>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1053-1062,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2020年7月.</w:t>
      </w:r>
    </w:p>
    <w:p>
      <w:pPr>
        <w:numPr>
          <w:numId w:val="1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352-370,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433-457,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77-104,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Vol.to appear,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721-736, 2022.</w:t>
      </w:r>
    </w:p>
    <w:p>
      <w:pPr>
        <w:numPr>
          <w:numId w:val="1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916-932, 2022.</w:t>
      </w:r>
    </w:p>
    <w:p>
      <w:pPr>
        <w:numPr>
          <w:numId w:val="1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903-926, 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69-75,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1358-1372,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2214-2235,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499-527,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215-233,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381-391, 2023.</w:t>
      </w:r>
    </w:p>
    <w:p>
      <w:pPr>
        <w:numPr>
          <w:numId w:val="12"/>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85-92,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1357-1415,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951-974,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1655-1668,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73-81,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193-206,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