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Makimoto, Yuya Nara, Syuma Hirai,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Development of an Application for Smartphone to Detect Chattering Vibration in Single Purpose Lathe,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雄貴,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電着工具の穿孔部近傍の切りくず付着を抑制する工具先端形状の検討,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大型ステンレス鋼板の湿式研削加工,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