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2306-2313,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418-426,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No.TC12-8, </w:t>
      </w:r>
      <w:r>
        <w:rPr>
          <w:rFonts w:ascii="" w:hAnsi="" w:cs="" w:eastAsia=""/>
          <w:b w:val="false"/>
          <w:i w:val="false"/>
          <w:strike w:val="false"/>
          <w:color w:val="000000"/>
          <w:sz w:val="20"/>
          <w:u w:val="none"/>
        </w:rPr>
        <w:t>536-541,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72,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71,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70,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63,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No.PS1-17(SO1-17),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No.PS1-29(SO1-29),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No.CT-17-053, </w:t>
      </w:r>
      <w:r>
        <w:rPr>
          <w:rFonts w:ascii="" w:hAnsi="" w:cs="" w:eastAsia=""/>
          <w:b w:val="false"/>
          <w:i w:val="false"/>
          <w:strike w:val="false"/>
          <w:color w:val="000000"/>
          <w:sz w:val="20"/>
          <w:u w:val="none"/>
        </w:rPr>
        <w:t>25-30,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No.MBE2017-30, </w:t>
      </w:r>
      <w:r>
        <w:rPr>
          <w:rFonts w:ascii="" w:hAnsi="" w:cs="" w:eastAsia=""/>
          <w:b w:val="false"/>
          <w:i w:val="false"/>
          <w:strike w:val="false"/>
          <w:color w:val="000000"/>
          <w:sz w:val="20"/>
          <w:u w:val="none"/>
        </w:rPr>
        <w:t>63-68,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1-4,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27-32,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15-16,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65874-65884,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3535-3540,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1578-1585, 2018.</w:t>
      </w:r>
    </w:p>
    <w:p>
      <w:pPr>
        <w:numPr>
          <w:numId w:val="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3562-3572,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No.P-En-7-2,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No.CT-18-107, </w:t>
      </w:r>
      <w:r>
        <w:rPr>
          <w:rFonts w:ascii="" w:hAnsi="" w:cs="" w:eastAsia=""/>
          <w:b w:val="false"/>
          <w:i w:val="false"/>
          <w:strike w:val="false"/>
          <w:color w:val="000000"/>
          <w:sz w:val="20"/>
          <w:u w:val="none"/>
        </w:rPr>
        <w:t>21-26,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No.FIE-18-025∼029, </w:t>
      </w:r>
      <w:r>
        <w:rPr>
          <w:rFonts w:ascii="" w:hAnsi="" w:cs="" w:eastAsia=""/>
          <w:b w:val="false"/>
          <w:i w:val="false"/>
          <w:strike w:val="false"/>
          <w:color w:val="000000"/>
          <w:sz w:val="20"/>
          <w:u w:val="none"/>
        </w:rPr>
        <w:t>7-10,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No.HEE-19-1, </w:t>
      </w:r>
      <w:r>
        <w:rPr>
          <w:rFonts w:ascii="" w:hAnsi="" w:cs="" w:eastAsia=""/>
          <w:b w:val="false"/>
          <w:i w:val="false"/>
          <w:strike w:val="false"/>
          <w:color w:val="000000"/>
          <w:sz w:val="20"/>
          <w:u w:val="none"/>
        </w:rPr>
        <w:t>1-4,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No.CT-19-067, </w:t>
      </w:r>
      <w:r>
        <w:rPr>
          <w:rFonts w:ascii="" w:hAnsi="" w:cs="" w:eastAsia=""/>
          <w:b w:val="false"/>
          <w:i w:val="false"/>
          <w:strike w:val="false"/>
          <w:color w:val="000000"/>
          <w:sz w:val="20"/>
          <w:u w:val="none"/>
        </w:rPr>
        <w:t>31-36,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561-568, 2019.</w:t>
      </w:r>
    </w:p>
    <w:p>
      <w:pPr>
        <w:numPr>
          <w:numId w:val="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1301-1307,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171-178,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126003, 2019.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Vol.JIPE-45,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98-105,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505-508,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No.PS2_05(SO2_05),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No.2G1-2,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No.CT-19-114, </w:t>
      </w:r>
      <w:r>
        <w:rPr>
          <w:rFonts w:ascii="" w:hAnsi="" w:cs="" w:eastAsia=""/>
          <w:b w:val="false"/>
          <w:i w:val="false"/>
          <w:strike w:val="false"/>
          <w:color w:val="000000"/>
          <w:sz w:val="20"/>
          <w:u w:val="none"/>
        </w:rPr>
        <w:t>3-8,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No.FIE-19-023∼034, </w:t>
      </w:r>
      <w:r>
        <w:rPr>
          <w:rFonts w:ascii="" w:hAnsi="" w:cs="" w:eastAsia=""/>
          <w:b w:val="false"/>
          <w:i w:val="false"/>
          <w:strike w:val="false"/>
          <w:color w:val="000000"/>
          <w:sz w:val="20"/>
          <w:u w:val="none"/>
        </w:rPr>
        <w:t>15-19,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11-14,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45-46,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366-373,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No.FIE-23-026∼028, </w:t>
      </w:r>
      <w:r>
        <w:rPr>
          <w:rFonts w:ascii="" w:hAnsi="" w:cs="" w:eastAsia=""/>
          <w:b w:val="false"/>
          <w:i w:val="false"/>
          <w:strike w:val="false"/>
          <w:color w:val="000000"/>
          <w:sz w:val="20"/>
          <w:u w:val="none"/>
        </w:rPr>
        <w:t>5-10,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280-286,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423-429,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No.28AM2-1-1, </w:t>
      </w:r>
      <w:r>
        <w:rPr>
          <w:rFonts w:ascii="" w:hAnsi="" w:cs="" w:eastAsia=""/>
          <w:b w:val="false"/>
          <w:i w:val="false"/>
          <w:strike w:val="false"/>
          <w:color w:val="000000"/>
          <w:sz w:val="20"/>
          <w:u w:val="none"/>
        </w:rPr>
        <w:t>142-145,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No.28AM2-1-2, </w:t>
      </w:r>
      <w:r>
        <w:rPr>
          <w:rFonts w:ascii="" w:hAnsi="" w:cs="" w:eastAsia=""/>
          <w:b w:val="false"/>
          <w:i w:val="false"/>
          <w:strike w:val="false"/>
          <w:color w:val="000000"/>
          <w:sz w:val="20"/>
          <w:u w:val="none"/>
        </w:rPr>
        <w:t>146-149,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No.28AM2-2-5, </w:t>
      </w:r>
      <w:r>
        <w:rPr>
          <w:rFonts w:ascii="" w:hAnsi="" w:cs="" w:eastAsia=""/>
          <w:b w:val="false"/>
          <w:i w:val="false"/>
          <w:strike w:val="false"/>
          <w:color w:val="000000"/>
          <w:sz w:val="20"/>
          <w:u w:val="none"/>
        </w:rPr>
        <w:t>269-272,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No.1AM1-1-3, </w:t>
      </w:r>
      <w:r>
        <w:rPr>
          <w:rFonts w:ascii="" w:hAnsi="" w:cs="" w:eastAsia=""/>
          <w:b w:val="false"/>
          <w:i w:val="false"/>
          <w:strike w:val="false"/>
          <w:color w:val="000000"/>
          <w:sz w:val="20"/>
          <w:u w:val="none"/>
        </w:rPr>
        <w:t>285-288,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No.1PM2-2-5, </w:t>
      </w:r>
      <w:r>
        <w:rPr>
          <w:rFonts w:ascii="" w:hAnsi="" w:cs="" w:eastAsia=""/>
          <w:b w:val="false"/>
          <w:i w:val="false"/>
          <w:strike w:val="false"/>
          <w:color w:val="000000"/>
          <w:sz w:val="20"/>
          <w:u w:val="none"/>
        </w:rPr>
        <w:t>441-444,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461-464,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No.P74, </w:t>
      </w:r>
      <w:r>
        <w:rPr>
          <w:rFonts w:ascii="" w:hAnsi="" w:cs="" w:eastAsia=""/>
          <w:b w:val="false"/>
          <w:i w:val="false"/>
          <w:strike w:val="false"/>
          <w:color w:val="000000"/>
          <w:sz w:val="20"/>
          <w:u w:val="none"/>
        </w:rPr>
        <w:t>133,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75-76,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40,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No.EPP-24-042, </w:t>
      </w:r>
      <w:r>
        <w:rPr>
          <w:rFonts w:ascii="" w:hAnsi="" w:cs="" w:eastAsia=""/>
          <w:b w:val="false"/>
          <w:i w:val="false"/>
          <w:strike w:val="false"/>
          <w:color w:val="000000"/>
          <w:sz w:val="20"/>
          <w:u w:val="none"/>
        </w:rPr>
        <w:t>59-62,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83-88,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65-69,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No.FIE-24-020, </w:t>
      </w:r>
      <w:r>
        <w:rPr>
          <w:rFonts w:ascii="" w:hAnsi="" w:cs="" w:eastAsia=""/>
          <w:b w:val="false"/>
          <w:i w:val="false"/>
          <w:strike w:val="false"/>
          <w:color w:val="000000"/>
          <w:sz w:val="20"/>
          <w:u w:val="none"/>
        </w:rPr>
        <w:t>7-12,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113-116,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34-36,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