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No.FS1-07,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No.FS1-08,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