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217-224,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1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1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102-119, 2025.</w:t>
      </w:r>
    </w:p>
    <w:p>
      <w:pPr>
        <w:numPr>
          <w:numId w:val="1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Vol.856 LNEE, </w:t>
      </w:r>
      <w:r>
        <w:rPr>
          <w:rFonts w:ascii="" w:hAnsi="" w:cs="" w:eastAsia=""/>
          <w:b w:val="false"/>
          <w:i w:val="false"/>
          <w:strike w:val="false"/>
          <w:color w:val="000000"/>
          <w:sz w:val="20"/>
          <w:u w:val="none"/>
        </w:rPr>
        <w:t>25-38,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No.FS1-13, </w:t>
      </w:r>
      <w:r>
        <w:rPr>
          <w:rFonts w:ascii="" w:hAnsi="" w:cs="" w:eastAsia=""/>
          <w:b w:val="false"/>
          <w:i w:val="false"/>
          <w:strike w:val="false"/>
          <w:color w:val="000000"/>
          <w:sz w:val="20"/>
          <w:u w:val="none"/>
        </w:rPr>
        <w:t>42-44,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No.FS1-14, </w:t>
      </w:r>
      <w:r>
        <w:rPr>
          <w:rFonts w:ascii="" w:hAnsi="" w:cs="" w:eastAsia=""/>
          <w:b w:val="false"/>
          <w:i w:val="false"/>
          <w:strike w:val="false"/>
          <w:color w:val="000000"/>
          <w:sz w:val="20"/>
          <w:u w:val="none"/>
        </w:rPr>
        <w:t>45-49,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No.FS1-15, </w:t>
      </w:r>
      <w:r>
        <w:rPr>
          <w:rFonts w:ascii="" w:hAnsi="" w:cs="" w:eastAsia=""/>
          <w:b w:val="false"/>
          <w:i w:val="false"/>
          <w:strike w:val="false"/>
          <w:color w:val="000000"/>
          <w:sz w:val="20"/>
          <w:u w:val="none"/>
        </w:rPr>
        <w:t>50-55,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No.OS3-H3(IS3-3),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Vol.BK-1-02,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No.PI-24-034,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Vol.NS2024-164,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Vol.CQ2024-113,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Vol.NS2024-252,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Vol.NS2024-247,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Vol.NS2024-262,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