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Vol.to appear,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69-75,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85-92,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73-81,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