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79-90,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185-196,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205-214,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197-204,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 2025年.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