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19-31,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0"/>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1054-1055,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