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5"/>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5"/>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胃癌組織中に発現するmicroRNA-449aの 意義解明についての研究,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大岩 優,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消化器癌患者におけるESPEN提唱の栄養不良診断基準の臨床的有用性,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《口演》電解質異常が栄養サポートチーム(NST)介入患者の生命予後に及ぼす影響,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東村 優歩, 樫地 彩実, 井上 愛莉沙, 大石 琴乃, 高須賀 姫乃,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栄養サポートチーム(NST)における主観的包括的栄養評価(SGA)の有用性の検討,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肥満を有する肝細胞癌患者に対し肝切除術前に行なった減量の影響, </w:t>
      </w:r>
      <w:r>
        <w:rPr>
          <w:rFonts w:ascii="" w:hAnsi="" w:cs="" w:eastAsia=""/>
          <w:b w:val="false"/>
          <w:i w:val="true"/>
          <w:strike w:val="false"/>
          <w:color w:val="000000"/>
          <w:sz w:val="20"/>
          <w:u w:val="none"/>
        </w:rPr>
        <w:t xml:space="preserve">第22回日本病態栄養学会年次学術集会, </w:t>
      </w:r>
      <w:r>
        <w:rPr>
          <w:rFonts w:ascii="" w:hAnsi="" w:cs="" w:eastAsia=""/>
          <w:b w:val="false"/>
          <w:i w:val="false"/>
          <w:strike w:val="false"/>
          <w:color w:val="000000"/>
          <w:sz w:val="20"/>
          <w:u w:val="none"/>
        </w:rPr>
        <w:t>2019年1月.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消化器癌患者におけるEDC栄養不良診断と各種栄養指標との関連, </w:t>
      </w:r>
      <w:r>
        <w:rPr>
          <w:rFonts w:ascii="" w:hAnsi="" w:cs="" w:eastAsia=""/>
          <w:b w:val="false"/>
          <w:i w:val="true"/>
          <w:strike w:val="false"/>
          <w:color w:val="000000"/>
          <w:sz w:val="20"/>
          <w:u w:val="none"/>
        </w:rPr>
        <w:t xml:space="preserve">第38回食事療法学会,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吉野 真理子,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病院間で栄養管理を繋いだ一症例,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林 明希, 武田 滋郁, 西 麻希,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多職種の連携によりストマ周囲潰瘍の改善がみられた高齢患者の1症例,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樫地 彩実, 東村 優歩, 井上 愛莉沙, 高須賀 姫乃, 大石 琴乃, 筑後 桃子, 菊井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栄養サポートチーム(NST)介入患者における電解質異常が生命予後に及ぼす影響について, </w:t>
      </w:r>
      <w:r>
        <w:rPr>
          <w:rFonts w:ascii="" w:hAnsi="" w:cs="" w:eastAsia=""/>
          <w:b w:val="false"/>
          <w:i w:val="true"/>
          <w:strike w:val="false"/>
          <w:color w:val="000000"/>
          <w:sz w:val="20"/>
          <w:u w:val="none"/>
        </w:rPr>
        <w:t xml:space="preserve">第27回徳島NST研究会,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6"/>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腹腔鏡下腹壁瘢痕ヘルニア根治術に対するIPOM-Plus法の有用性,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青谷 望美, 加木屋 菜津美, 谷村 真優, 菊井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 の臨床的実用性の検討, </w:t>
      </w:r>
      <w:r>
        <w:rPr>
          <w:rFonts w:ascii="" w:hAnsi="" w:cs="" w:eastAsia=""/>
          <w:b w:val="false"/>
          <w:i w:val="true"/>
          <w:strike w:val="false"/>
          <w:color w:val="000000"/>
          <w:sz w:val="20"/>
          <w:u w:val="none"/>
        </w:rPr>
        <w:t xml:space="preserve">日本外科代謝栄養学会,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滝本 真望,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消化器癌患者の術前評価におけるESPEN 提唱栄養不良診断基準の各診断項目と予後との関連,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低ナトリウム血症の予後予測因子としての可能性∼栄養サポートチーム(NST)介入患者における生存率の検討∼,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樫地 彩実, 田尻 真梨(徳島大学病院 栄養部), 高須賀 姫乃, 大石 琴乃, 井上 愛莉沙, 筑後 桃子(徳島大学病院 栄養部), 菊池 聡子(徳島大学病院 栄養部),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井上 聖也(徳島大学病院 食道・乳腺甲状腺外科),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栄養サポートチーム(NST)介入患者における低ナトリウム血症が予後に及ぼす影響の検討,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青谷 望美,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加木屋 菜津美, 谷村 真優,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消化器癌患者における術前栄養評価としてのESPEN提唱栄養不良診断法の 臨床的有用性,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聡子,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山田 静恵, 西 麻希, 粟田 由佳, 橋本 脩平, 筑後 桃子,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肥満を有する肝細胞癌の患者に対する術前減量プロトコールの評価,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7"/>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7"/>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7"/>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7"/>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8"/>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8"/>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9"/>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9"/>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ロボット支援下前立腺全摘後の鼠径ヘルニアに対する腹腔鏡手術症例の検討, </w:t>
      </w:r>
      <w:r>
        <w:rPr>
          <w:rFonts w:ascii="" w:hAnsi="" w:cs="" w:eastAsia=""/>
          <w:b w:val="false"/>
          <w:i w:val="true"/>
          <w:strike w:val="false"/>
          <w:color w:val="000000"/>
          <w:sz w:val="20"/>
          <w:u w:val="none"/>
        </w:rPr>
        <w:t xml:space="preserve">第20回日本ヘルニア学会学術集会,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2024.</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2070-2077, 2024.</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Bevacizumab使用中の消化器外科手術についての検討,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