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586-591,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none"/>
        </w:rPr>
        <w:t xml:space="preserve">Frontiers in Virology,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9"/>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9"/>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none"/>
        </w:rPr>
        <w:t xml:space="preserve">Journal of Infectious Diseases,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none"/>
        </w:rPr>
        <w:t xml:space="preserve">Iscience,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none"/>
        </w:rPr>
        <w:t xml:space="preserve">Chemistry Letters,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none"/>
        </w:rPr>
        <w:t xml:space="preserve">Journal of clinical medicine,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Chan M,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馬場彩花 (名),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阿部祐也 (名), 遠藤鋭人 (名),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