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5-10, 2021年.</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516, 2022年8月.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Stroop Task Performance among Individuals with High-functioning Pervasive Developmental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254-259, 2024.</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西野 さおり, </w:t>
      </w:r>
      <w:r>
        <w:rPr>
          <w:rFonts w:ascii="" w:hAnsi="" w:cs="" w:eastAsia=""/>
          <w:b w:val="true"/>
          <w:i w:val="false"/>
          <w:strike w:val="false"/>
          <w:color w:val="000000"/>
          <w:sz w:val="20"/>
          <w:u w:val="single"/>
        </w:rPr>
        <w:t>代畑 光教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徳島県内の入所系高齢者施設における感染対策上の課題と支援ニーズ:横断的研究,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