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CASE2267,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e260-e269,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20350, 2022.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 する視床下核脳深部刺激療法による変化の検討, </w:t>
      </w:r>
      <w:r>
        <w:rPr>
          <w:rFonts w:ascii="" w:hAnsi="" w:cs="" w:eastAsia=""/>
          <w:b w:val="false"/>
          <w:i w:val="true"/>
          <w:strike w:val="false"/>
          <w:color w:val="000000"/>
          <w:sz w:val="20"/>
          <w:u w:val="none"/>
        </w:rPr>
        <w:t xml:space="preserve">日本老年脳神経外科学会誌,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43-48,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292-300,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7"/>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脳深部刺激電極から得たLFPの解析(初級編),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1462-1464, 2024.</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26-31,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高須賀 巧喜,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樽井 慎, 新免 利郎, 畠中 雅崇 : </w:t>
      </w:r>
      <w:r>
        <w:rPr>
          <w:rFonts w:ascii="" w:hAnsi="" w:cs="" w:eastAsia=""/>
          <w:b w:val="false"/>
          <w:i w:val="false"/>
          <w:strike w:val="false"/>
          <w:color w:val="000000"/>
          <w:sz w:val="20"/>
          <w:u w:val="none"/>
        </w:rPr>
        <w:t xml:space="preserve">NeuroSphereTMを用いた遠隔ニューロモデュレーション診療の有用性の検討,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