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none"/>
        </w:rPr>
        <w:t xml:space="preserve">IOP Conf. Ser.: Earth Environ. Sci., </w:t>
      </w:r>
      <w:r>
        <w:rPr>
          <w:rFonts w:ascii="" w:hAnsi="" w:cs="" w:eastAsia=""/>
          <w:b w:val="true"/>
          <w:i w:val="false"/>
          <w:strike w:val="false"/>
          <w:color w:val="000000"/>
          <w:sz w:val="20"/>
          <w:u w:val="none"/>
        </w:rPr>
        <w:t xml:space="preserve">Vol.1417, </w:t>
      </w:r>
      <w:r>
        <w:rPr>
          <w:rFonts w:ascii="" w:hAnsi="" w:cs="" w:eastAsia=""/>
          <w:b w:val="false"/>
          <w:i w:val="true"/>
          <w:strike w:val="false"/>
          <w:color w:val="000000"/>
          <w:sz w:val="20"/>
          <w:u w:val="none"/>
        </w:rPr>
        <w:t xml:space="preserve">No.012038,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7"/>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Vol.P-10,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