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9 認知症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e00510,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1197-1200,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e60--e61,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485-494,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75-82,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 </w:t>
      </w:r>
      <w:r>
        <w:rPr>
          <w:rFonts w:ascii="" w:hAnsi="" w:cs="" w:eastAsia=""/>
          <w:b w:val="false"/>
          <w:i w:val="false"/>
          <w:strike w:val="false"/>
          <w:color w:val="000000"/>
          <w:sz w:val="20"/>
          <w:u w:val="none"/>
        </w:rPr>
        <w:t xml:space="preserve">リスペリドン持効性懸濁注射液が有効であった神経性無食欲症男児の症例,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392-397,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193-196,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統合失調症におけるone-carbon metabolism 関連解析,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925-934,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468-476,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111066, 2020.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6-10,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103565, 2021.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633-641,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硬膜動静脈瘻の外科手術における動注ICG Videoangiographyの有用性の検討,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175-177,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205-209,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e53-e55,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282-283,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くも膜下出血で発症した，前脈絡叢動脈・後大脳動脈Rete mirabileの1例, </w:t>
      </w:r>
      <w:r>
        <w:rPr>
          <w:rFonts w:ascii="" w:hAnsi="" w:cs="" w:eastAsia=""/>
          <w:b w:val="false"/>
          <w:i w:val="true"/>
          <w:strike w:val="false"/>
          <w:color w:val="000000"/>
          <w:sz w:val="20"/>
          <w:u w:val="none"/>
        </w:rPr>
        <w:t xml:space="preserve">第25回中国四国脳卒中研究会,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SAHと解離性動脈瘤の診断，vessel wall imagingを含めて,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666-673,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864-71,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e0320398,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