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3242649,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44-48,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308-317,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111-116,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枡富 由佳子, 前野 彩花,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邉見 蓉子, 枡富 健二 : </w:t>
      </w:r>
      <w:r>
        <w:rPr>
          <w:rFonts w:ascii="" w:hAnsi="" w:cs="" w:eastAsia=""/>
          <w:b w:val="false"/>
          <w:i w:val="false"/>
          <w:strike w:val="false"/>
          <w:color w:val="000000"/>
          <w:sz w:val="20"/>
          <w:u w:val="none"/>
        </w:rPr>
        <w:t xml:space="preserve">9番トリソミー症候群患者の成長発育期における口腔管理報告, </w:t>
      </w:r>
      <w:r>
        <w:rPr>
          <w:rFonts w:ascii="" w:hAnsi="" w:cs="" w:eastAsia=""/>
          <w:b w:val="false"/>
          <w:i w:val="true"/>
          <w:strike w:val="false"/>
          <w:color w:val="000000"/>
          <w:sz w:val="20"/>
          <w:u w:val="none"/>
        </w:rPr>
        <w:t xml:space="preserve">日本障害者歯科学会,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