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3532-3534,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189-196,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95-100,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腎臓内科診療-尿沈査について, </w:t>
      </w:r>
      <w:r>
        <w:rPr>
          <w:rFonts w:ascii="" w:hAnsi="" w:cs="" w:eastAsia=""/>
          <w:b w:val="false"/>
          <w:i w:val="true"/>
          <w:strike w:val="false"/>
          <w:color w:val="000000"/>
          <w:sz w:val="20"/>
          <w:u w:val="none"/>
        </w:rPr>
        <w:t xml:space="preserve">亀井病院院内勉強会,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当院で診断されたファブリー病腎障害の3例, </w:t>
      </w:r>
      <w:r>
        <w:rPr>
          <w:rFonts w:ascii="" w:hAnsi="" w:cs="" w:eastAsia=""/>
          <w:b w:val="false"/>
          <w:i w:val="true"/>
          <w:strike w:val="false"/>
          <w:color w:val="000000"/>
          <w:sz w:val="20"/>
          <w:u w:val="none"/>
        </w:rPr>
        <w:t xml:space="preserve">徳島県ファブリー病腎障害セミナー,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腎臓内科・病院検査部の現場へようこそ, </w:t>
      </w:r>
      <w:r>
        <w:rPr>
          <w:rFonts w:ascii="" w:hAnsi="" w:cs="" w:eastAsia=""/>
          <w:b w:val="false"/>
          <w:i w:val="true"/>
          <w:strike w:val="false"/>
          <w:color w:val="000000"/>
          <w:sz w:val="20"/>
          <w:u w:val="none"/>
        </w:rPr>
        <w:t xml:space="preserve">平成28年度医学科1年次早期臨床体験実習,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腎不全患者について当直医が知っておくべきこと, </w:t>
      </w:r>
      <w:r>
        <w:rPr>
          <w:rFonts w:ascii="" w:hAnsi="" w:cs="" w:eastAsia=""/>
          <w:b w:val="false"/>
          <w:i w:val="true"/>
          <w:strike w:val="false"/>
          <w:color w:val="000000"/>
          <w:sz w:val="20"/>
          <w:u w:val="none"/>
        </w:rPr>
        <w:t xml:space="preserve">第4回当直スキルアップセミナー,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712-716,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e0215791,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315-320, 2020.</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481,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612-614,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1386-1394,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610-612,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613-615,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744,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524-527,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