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第25回日本老年医学会四国地方会,  (事務局担当 [2013年9月〜2014年2月]).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松井 尚子</w:t>
      </w:r>
      <w:r>
        <w:rPr>
          <w:rFonts w:ascii="" w:hAnsi="" w:cs="" w:eastAsia=""/>
          <w:b w:val="false"/>
          <w:i w:val="false"/>
          <w:strike w:val="false"/>
          <w:color w:val="000000"/>
          <w:sz w:val="20"/>
          <w:u w:val="none"/>
        </w:rPr>
        <w:t xml:space="preserve"> : 難病総合アドバイザー事業,  (アドバイザー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とくしま健康寿命延伸産業創出プラットフォーム,  (委員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日本神経学会 ジストニア診療ガイドライン作成委員会,  (研究協力者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