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徳島県社会人キャリアアップ推進事業, 徳島県社会人キャリアアップ推進委員会, 2004年6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で学ぶ「地域連携のための合意形成・協働形成」, 徳島大学上勝学舎,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2,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 学舎報告会,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3, 徳島大学上勝学舎,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みなと発市民活動講座 若者参加と自主財源を生む市民ファンドの仕組みと可能性, 徳島大学地域創生センター,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