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特願2014-553236 (2013/12/24) (2013年12月), 特開WO2014/098249 (2014/6/26) (2014年6月), 特許第6403062(2018/9/21)号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