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 </w:t>
      </w:r>
      <w:r>
        <w:rPr>
          <w:rFonts w:ascii="" w:hAnsi="" w:cs="" w:eastAsia=""/>
          <w:b w:val="false"/>
          <w:i w:val="false"/>
          <w:strike w:val="false"/>
          <w:color w:val="000000"/>
          <w:sz w:val="20"/>
          <w:u w:val="none"/>
        </w:rPr>
        <w:t>後期高齢者の口腔状態と要介護状態または死亡発生との関連性, 優秀学位論文賞,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