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徳島県昼夜間定通独立校整備検討委員会,  (委員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高等教育情報化推進協議会,  (エル・ネット高度化推進委員会専門委員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メディア教育開発センター,  (共同研究員 [2001年4月〜2005年3月]).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6"/>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放送大学徳島学習センター,  (面接講師 [2010年1月〜1月]).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平成22年度四国地区社会教育主事講習副主任講師,  (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平成26年度優良PTA文部科学大臣表彰及びPTA活動振興功労者表彰選考委員会,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文部科学省平成26年度開かれた大学づくりに関する調査研究委員会,  (委員 [2014年9月〜2015年3月]).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文部科学省平成27年度社会教育主事講習事業選定委員会,  (委員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文部科学省平成28年度社会教育主事講習事業選定委員会,  (委員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国立教育政策研究所社会教育主事講習の充実に資する教材等の開発に関する調査研究委員会,  (委員長 [2017年5月〜2018年3月]).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