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日本設計工学会2005年度論文賞, </w:t>
      </w:r>
      <w:r>
        <w:rPr>
          <w:rFonts w:ascii="" w:hAnsi="" w:cs="" w:eastAsia=""/>
          <w:b w:val="false"/>
          <w:i w:val="false"/>
          <w:strike w:val="false"/>
          <w:color w:val="000000"/>
          <w:sz w:val="20"/>
          <w:u w:val="single"/>
        </w:rPr>
        <w:t>日本設計工学会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