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No.Special Issue, </w:t>
      </w:r>
      <w:r>
        <w:rPr>
          <w:rFonts w:ascii="" w:hAnsi="" w:cs="" w:eastAsia=""/>
          <w:b w:val="false"/>
          <w:i w:val="false"/>
          <w:strike w:val="false"/>
          <w:color w:val="000000"/>
          <w:sz w:val="20"/>
          <w:u w:val="none"/>
        </w:rPr>
        <w:t>94-97,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1397-1404,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Kenichi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2"/>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763--771,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1484-1492,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746-752,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Vol.8169, </w:t>
      </w:r>
      <w:r>
        <w:rPr>
          <w:rFonts w:ascii="" w:hAnsi="" w:cs="" w:eastAsia=""/>
          <w:b w:val="false"/>
          <w:i w:val="false"/>
          <w:strike w:val="false"/>
          <w:color w:val="000000"/>
          <w:sz w:val="20"/>
          <w:u w:val="none"/>
        </w:rPr>
        <w:t>Marseille, France,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Orojector,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1867-1874,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837-849,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1460-1469,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577-583,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1919-1927,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318-323,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2062-2075,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37-43,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Yoshiaki IWADATE, Chika OKIMURA,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Yuta NAKASHIMA, Masatsune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Myosin-II-mediated directional migration of dictyostelium cells in response to cyclic stretching of substratum,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748-758,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185-191,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680-687,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Vol.8430, </w:t>
      </w:r>
      <w:r>
        <w:rPr>
          <w:rFonts w:ascii="" w:hAnsi="" w:cs="" w:eastAsia=""/>
          <w:b w:val="false"/>
          <w:i w:val="false"/>
          <w:strike w:val="false"/>
          <w:color w:val="000000"/>
          <w:sz w:val="20"/>
          <w:u w:val="none"/>
        </w:rPr>
        <w:t>35, Brussels, Belgium,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803-804,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814-815,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816-817,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No.804, </w:t>
      </w:r>
      <w:r>
        <w:rPr>
          <w:rFonts w:ascii="" w:hAnsi="" w:cs="" w:eastAsia=""/>
          <w:b w:val="false"/>
          <w:i w:val="false"/>
          <w:strike w:val="false"/>
          <w:color w:val="000000"/>
          <w:sz w:val="20"/>
          <w:u w:val="none"/>
        </w:rPr>
        <w:t>2792-2803,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No.Special Issue (2013), </w:t>
      </w:r>
      <w:r>
        <w:rPr>
          <w:rFonts w:ascii="" w:hAnsi="" w:cs="" w:eastAsia=""/>
          <w:b w:val="false"/>
          <w:i w:val="false"/>
          <w:strike w:val="false"/>
          <w:color w:val="000000"/>
          <w:sz w:val="20"/>
          <w:u w:val="none"/>
        </w:rPr>
        <w:t>s102-s107,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Kitagawa Hiroshi, Lee Hokyoo, Ueda Hisatoshi, Miyamoto Tadayoshi,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350-357,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463-468,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No.CT-13-81, </w:t>
      </w:r>
      <w:r>
        <w:rPr>
          <w:rFonts w:ascii="" w:hAnsi="" w:cs="" w:eastAsia=""/>
          <w:b w:val="false"/>
          <w:i w:val="false"/>
          <w:strike w:val="false"/>
          <w:color w:val="000000"/>
          <w:sz w:val="20"/>
          <w:u w:val="none"/>
        </w:rPr>
        <w:t>105-110,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728-731,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EUSPEN, Dubrovnik, Croatia,, </w:t>
      </w:r>
      <w:r>
        <w:rPr>
          <w:rFonts w:ascii="" w:hAnsi="" w:cs="" w:eastAsia=""/>
          <w:b w:val="false"/>
          <w:i w:val="false"/>
          <w:strike w:val="false"/>
          <w:color w:val="000000"/>
          <w:sz w:val="20"/>
          <w:u w:val="none"/>
        </w:rPr>
        <w:t>4,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Vol.9225, </w:t>
      </w:r>
      <w:r>
        <w:rPr>
          <w:rFonts w:ascii="" w:hAnsi="" w:cs="" w:eastAsia=""/>
          <w:b w:val="false"/>
          <w:i w:val="false"/>
          <w:strike w:val="false"/>
          <w:color w:val="000000"/>
          <w:sz w:val="20"/>
          <w:u w:val="none"/>
        </w:rPr>
        <w:t>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929-934,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490-496,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643-649,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15-00260,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166-173,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984-987,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No.CT-16-006, </w:t>
      </w:r>
      <w:r>
        <w:rPr>
          <w:rFonts w:ascii="" w:hAnsi="" w:cs="" w:eastAsia=""/>
          <w:b w:val="false"/>
          <w:i w:val="false"/>
          <w:strike w:val="false"/>
          <w:color w:val="000000"/>
          <w:sz w:val="20"/>
          <w:u w:val="none"/>
        </w:rPr>
        <w:t>1-4,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No.CT-16-007, </w:t>
      </w:r>
      <w:r>
        <w:rPr>
          <w:rFonts w:ascii="" w:hAnsi="" w:cs="" w:eastAsia=""/>
          <w:b w:val="false"/>
          <w:i w:val="false"/>
          <w:strike w:val="false"/>
          <w:color w:val="000000"/>
          <w:sz w:val="20"/>
          <w:u w:val="none"/>
        </w:rPr>
        <w:t>5-8,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No.CT-16-016, </w:t>
      </w:r>
      <w:r>
        <w:rPr>
          <w:rFonts w:ascii="" w:hAnsi="" w:cs="" w:eastAsia=""/>
          <w:b w:val="false"/>
          <w:i w:val="false"/>
          <w:strike w:val="false"/>
          <w:color w:val="000000"/>
          <w:sz w:val="20"/>
          <w:u w:val="none"/>
        </w:rPr>
        <w:t>35-37,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21"/>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