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上保 徹志 : </w:t>
      </w:r>
      <w:r>
        <w:rPr>
          <w:rFonts w:ascii="" w:hAnsi="" w:cs="" w:eastAsia=""/>
          <w:b w:val="false"/>
          <w:i w:val="false"/>
          <w:strike w:val="false"/>
          <w:color w:val="000000"/>
          <w:sz w:val="20"/>
          <w:u w:val="none"/>
        </w:rPr>
        <w:t>距離測定装置，距離測定方法および距離測定プログラム, 特願2004-146358 (2004年5月), 特開2005-326345 (2005年11月), 特許第3768511号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若林 和博 : </w:t>
      </w:r>
      <w:r>
        <w:rPr>
          <w:rFonts w:ascii="" w:hAnsi="" w:cs="" w:eastAsia=""/>
          <w:b w:val="false"/>
          <w:i w:val="false"/>
          <w:strike w:val="false"/>
          <w:color w:val="000000"/>
          <w:sz w:val="20"/>
          <w:u w:val="none"/>
        </w:rPr>
        <w:t>距離測定装置，距離測定方法および距離測定プログラム, 特願2005-206798 (2005年7月), 特開2007-24671 (2007年2月), 特許第3784823号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山達 正明 : </w:t>
      </w:r>
      <w:r>
        <w:rPr>
          <w:rFonts w:ascii="" w:hAnsi="" w:cs="" w:eastAsia=""/>
          <w:b w:val="false"/>
          <w:i w:val="false"/>
          <w:strike w:val="false"/>
          <w:color w:val="000000"/>
          <w:sz w:val="20"/>
          <w:u w:val="none"/>
        </w:rPr>
        <w:t>固体撮像装置およびその特性検査方法, 特願2006-032796 (2006年2月), 特許第3932052号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13"/>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